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A3525D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00ED34C9">
        <w:t>#116</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D447B8" w:rsidRPr="00D447B8">
        <w:rPr>
          <w:sz w:val="32"/>
          <w:szCs w:val="32"/>
        </w:rPr>
        <w:t>2401368</w:t>
      </w:r>
    </w:p>
    <w:p w14:paraId="0CE7B7E6" w14:textId="02A326AD" w:rsidR="00E90E49" w:rsidRPr="00CE0424" w:rsidRDefault="00ED34C9" w:rsidP="00311702">
      <w:pPr>
        <w:pStyle w:val="3GPPHeader"/>
      </w:pPr>
      <w:r w:rsidRPr="00ED34C9">
        <w:t xml:space="preserve">Athens, Greece, 26th February – 1st </w:t>
      </w:r>
      <w:proofErr w:type="gramStart"/>
      <w:r w:rsidRPr="00ED34C9">
        <w:t>March,</w:t>
      </w:r>
      <w:proofErr w:type="gramEnd"/>
      <w:r w:rsidRPr="00ED34C9">
        <w:t xml:space="preserve"> 2024</w:t>
      </w:r>
    </w:p>
    <w:p w14:paraId="3086AC07" w14:textId="77777777" w:rsidR="00E90E49" w:rsidRPr="00CE0424" w:rsidRDefault="00E90E49" w:rsidP="00357380">
      <w:pPr>
        <w:pStyle w:val="3GPPHeader"/>
      </w:pPr>
    </w:p>
    <w:p w14:paraId="3982483C" w14:textId="5492C7D6"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ED34C9">
        <w:rPr>
          <w:sz w:val="22"/>
          <w:lang w:val="sv-FI"/>
        </w:rPr>
        <w:t>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6F760F6" w:rsidR="00E90E49" w:rsidRPr="00CE0424" w:rsidRDefault="003D3C45" w:rsidP="00311702">
      <w:pPr>
        <w:pStyle w:val="3GPPHeader"/>
        <w:rPr>
          <w:sz w:val="22"/>
        </w:rPr>
      </w:pPr>
      <w:r>
        <w:rPr>
          <w:sz w:val="22"/>
        </w:rPr>
        <w:t>Title:</w:t>
      </w:r>
      <w:r w:rsidR="00E90E49" w:rsidRPr="00CE0424">
        <w:rPr>
          <w:sz w:val="22"/>
        </w:rPr>
        <w:tab/>
      </w:r>
      <w:r w:rsidR="00ED34C9">
        <w:rPr>
          <w:sz w:val="22"/>
        </w:rPr>
        <w:t xml:space="preserve">Discussion </w:t>
      </w:r>
      <w:r w:rsidR="00ED34C9" w:rsidRPr="00ED34C9">
        <w:rPr>
          <w:sz w:val="22"/>
        </w:rPr>
        <w:t>o</w:t>
      </w:r>
      <w:r w:rsidR="00BA0824">
        <w:rPr>
          <w:sz w:val="22"/>
        </w:rPr>
        <w:t>f</w:t>
      </w:r>
      <w:r w:rsidR="00ED34C9" w:rsidRPr="00ED34C9">
        <w:rPr>
          <w:sz w:val="22"/>
        </w:rPr>
        <w:t xml:space="preserve"> </w:t>
      </w:r>
      <w:r w:rsidR="000D185B">
        <w:rPr>
          <w:sz w:val="22"/>
        </w:rPr>
        <w:t xml:space="preserve">RAN4 LS on </w:t>
      </w:r>
      <w:r w:rsidR="00ED34C9" w:rsidRPr="00ED34C9">
        <w:rPr>
          <w:sz w:val="22"/>
        </w:rPr>
        <w:t>UE capabilities for MPR reduction</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ED34C9">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3A57F4A0" w:rsidR="00477768" w:rsidRPr="00CE0424" w:rsidRDefault="00ED34C9" w:rsidP="00CE0424">
      <w:pPr>
        <w:pStyle w:val="BodyText"/>
      </w:pPr>
      <w:r w:rsidRPr="00ED34C9">
        <w:t xml:space="preserve">In </w:t>
      </w:r>
      <w:r>
        <w:t xml:space="preserve">this meeting, </w:t>
      </w:r>
      <w:r w:rsidRPr="00ED34C9">
        <w:t xml:space="preserve">RAN4 </w:t>
      </w:r>
      <w:r>
        <w:t xml:space="preserve">have </w:t>
      </w:r>
      <w:r w:rsidRPr="00ED34C9">
        <w:t>informed RAN1 of UE capabilities for MPR reduction</w:t>
      </w:r>
      <w:r>
        <w:t xml:space="preserve"> </w:t>
      </w:r>
      <w:r w:rsidRPr="00ED34C9">
        <w:t>and asked that RAN1 and RAN2 take these into account when defining UE capabilities for Rel-18</w:t>
      </w:r>
      <w:r w:rsidR="00643882">
        <w:t xml:space="preserve"> </w:t>
      </w:r>
      <w:r w:rsidR="00643882">
        <w:fldChar w:fldCharType="begin"/>
      </w:r>
      <w:r w:rsidR="00643882">
        <w:instrText xml:space="preserve"> REF _Ref157095972 \r \h </w:instrText>
      </w:r>
      <w:r w:rsidR="00643882">
        <w:fldChar w:fldCharType="separate"/>
      </w:r>
      <w:r w:rsidR="00C03A3F">
        <w:t>[1]</w:t>
      </w:r>
      <w:r w:rsidR="00643882">
        <w:fldChar w:fldCharType="end"/>
      </w:r>
      <w:r w:rsidRPr="00ED34C9">
        <w:t>.</w:t>
      </w:r>
      <w:r>
        <w:t xml:space="preserve">  In this contribution, we discuss how these should be addressed from a RAN1 </w:t>
      </w:r>
      <w:proofErr w:type="gramStart"/>
      <w:r>
        <w:t>perspective, and</w:t>
      </w:r>
      <w:proofErr w:type="gramEnd"/>
      <w:r>
        <w:t xml:space="preserve"> suggest how RAN1 might reply</w:t>
      </w:r>
      <w:r w:rsidR="00730965">
        <w:t xml:space="preserve"> to RAN4</w:t>
      </w:r>
      <w:r>
        <w:t>.</w:t>
      </w:r>
    </w:p>
    <w:p w14:paraId="60123794" w14:textId="77777777" w:rsidR="004000E8" w:rsidRDefault="00230D18" w:rsidP="00CE0424">
      <w:pPr>
        <w:pStyle w:val="Heading1"/>
      </w:pPr>
      <w:bookmarkStart w:id="0" w:name="_Ref178064866"/>
      <w:r>
        <w:t>2</w:t>
      </w:r>
      <w:r>
        <w:tab/>
      </w:r>
      <w:r w:rsidR="004000E8" w:rsidRPr="00CE0424">
        <w:t>Discussion</w:t>
      </w:r>
      <w:bookmarkEnd w:id="0"/>
    </w:p>
    <w:p w14:paraId="1C17F154" w14:textId="39FA2630" w:rsidR="00ED34C9" w:rsidRDefault="00ED34C9" w:rsidP="00ED34C9">
      <w:pPr>
        <w:rPr>
          <w:rFonts w:cs="Arial"/>
          <w:szCs w:val="20"/>
          <w:lang w:val="en-GB"/>
        </w:rPr>
      </w:pPr>
      <w:r w:rsidRPr="00983694">
        <w:rPr>
          <w:rFonts w:cs="Arial"/>
          <w:szCs w:val="20"/>
          <w:lang w:val="en-GB"/>
        </w:rPr>
        <w:t xml:space="preserve">In </w:t>
      </w:r>
      <w:r w:rsidR="00C217BB">
        <w:rPr>
          <w:rFonts w:cs="Arial"/>
          <w:szCs w:val="20"/>
          <w:lang w:val="en-GB"/>
        </w:rPr>
        <w:fldChar w:fldCharType="begin"/>
      </w:r>
      <w:r w:rsidR="00C217BB">
        <w:rPr>
          <w:rFonts w:cs="Arial"/>
          <w:szCs w:val="20"/>
          <w:lang w:val="en-GB"/>
        </w:rPr>
        <w:instrText xml:space="preserve"> REF _Ref157095972 \r \h </w:instrText>
      </w:r>
      <w:r w:rsidR="00C217BB">
        <w:rPr>
          <w:rFonts w:cs="Arial"/>
          <w:szCs w:val="20"/>
          <w:lang w:val="en-GB"/>
        </w:rPr>
      </w:r>
      <w:r w:rsidR="00C217BB">
        <w:rPr>
          <w:rFonts w:cs="Arial"/>
          <w:szCs w:val="20"/>
          <w:lang w:val="en-GB"/>
        </w:rPr>
        <w:fldChar w:fldCharType="separate"/>
      </w:r>
      <w:r w:rsidR="00C03A3F">
        <w:rPr>
          <w:rFonts w:cs="Arial"/>
          <w:szCs w:val="20"/>
          <w:lang w:val="en-GB"/>
        </w:rPr>
        <w:t>[1]</w:t>
      </w:r>
      <w:r w:rsidR="00C217BB">
        <w:rPr>
          <w:rFonts w:cs="Arial"/>
          <w:szCs w:val="20"/>
          <w:lang w:val="en-GB"/>
        </w:rPr>
        <w:fldChar w:fldCharType="end"/>
      </w:r>
      <w:r w:rsidRPr="00983694">
        <w:rPr>
          <w:rFonts w:cs="Arial"/>
          <w:szCs w:val="20"/>
          <w:lang w:val="en-GB"/>
        </w:rPr>
        <w:t xml:space="preserve"> RAN4 </w:t>
      </w:r>
      <w:r>
        <w:rPr>
          <w:rFonts w:cs="Arial"/>
          <w:szCs w:val="20"/>
          <w:lang w:val="en-GB"/>
        </w:rPr>
        <w:t>informed</w:t>
      </w:r>
      <w:r w:rsidRPr="00983694">
        <w:rPr>
          <w:rFonts w:cs="Arial"/>
          <w:szCs w:val="20"/>
          <w:lang w:val="en-GB"/>
        </w:rPr>
        <w:t xml:space="preserve"> RAN1 </w:t>
      </w:r>
      <w:r>
        <w:rPr>
          <w:rFonts w:cs="Arial"/>
          <w:szCs w:val="20"/>
          <w:lang w:val="en-GB"/>
        </w:rPr>
        <w:t>of the following UE capabilities to be added in Rel-</w:t>
      </w:r>
      <w:proofErr w:type="gramStart"/>
      <w:r>
        <w:rPr>
          <w:rFonts w:cs="Arial"/>
          <w:szCs w:val="20"/>
          <w:lang w:val="en-GB"/>
        </w:rPr>
        <w:t>18, and</w:t>
      </w:r>
      <w:proofErr w:type="gramEnd"/>
      <w:r>
        <w:rPr>
          <w:rFonts w:cs="Arial"/>
          <w:szCs w:val="20"/>
          <w:lang w:val="en-GB"/>
        </w:rPr>
        <w:t xml:space="preserve"> asked that RAN1 and RAN2 take these into account when defining UE capabilities for Rel-18.</w:t>
      </w:r>
    </w:p>
    <w:p w14:paraId="619AA362" w14:textId="77777777" w:rsidR="003C5F99" w:rsidRDefault="003C5F99" w:rsidP="003C5F99">
      <w:pPr>
        <w:spacing w:after="120"/>
        <w:ind w:left="567"/>
        <w:rPr>
          <w:rFonts w:cs="Arial"/>
          <w:b/>
        </w:rPr>
      </w:pPr>
      <w:r>
        <w:rPr>
          <w:rFonts w:cs="Arial"/>
          <w:b/>
        </w:rPr>
        <w:t>1. Overall Description:</w:t>
      </w:r>
      <w:r w:rsidRPr="003A04B0">
        <w:rPr>
          <w:rFonts w:cs="Arial"/>
          <w:b/>
        </w:rPr>
        <w:t xml:space="preserve"> </w:t>
      </w:r>
    </w:p>
    <w:p w14:paraId="047ACB62" w14:textId="77777777" w:rsidR="003C5F99" w:rsidRDefault="003C5F99" w:rsidP="003C5F99">
      <w:pPr>
        <w:spacing w:after="60"/>
        <w:ind w:left="2552" w:hanging="1985"/>
      </w:pPr>
      <w:r w:rsidRPr="7499716B">
        <w:rPr>
          <w:rFonts w:cs="Arial"/>
        </w:rPr>
        <w:t>RAN4 agree that</w:t>
      </w:r>
      <w:r>
        <w:t xml:space="preserve"> capabilities below are to be added in Rel-18:</w:t>
      </w:r>
    </w:p>
    <w:p w14:paraId="75D92DD7" w14:textId="77777777" w:rsidR="003C5F99" w:rsidRDefault="003C5F99" w:rsidP="003C5F99">
      <w:pPr>
        <w:spacing w:after="60"/>
        <w:ind w:left="2552" w:hanging="1985"/>
      </w:pPr>
    </w:p>
    <w:tbl>
      <w:tblPr>
        <w:tblW w:w="9630" w:type="dxa"/>
        <w:tblInd w:w="56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379"/>
        <w:gridCol w:w="1247"/>
        <w:gridCol w:w="567"/>
        <w:gridCol w:w="709"/>
        <w:gridCol w:w="728"/>
      </w:tblGrid>
      <w:tr w:rsidR="003C5F99" w:rsidRPr="0095297E" w14:paraId="715BC16A" w14:textId="77777777" w:rsidTr="003C5F99">
        <w:trPr>
          <w:cantSplit/>
          <w:tblHeader/>
        </w:trPr>
        <w:tc>
          <w:tcPr>
            <w:tcW w:w="6379" w:type="dxa"/>
            <w:tcBorders>
              <w:top w:val="single" w:sz="4" w:space="0" w:color="808080"/>
              <w:left w:val="single" w:sz="4" w:space="0" w:color="808080"/>
              <w:bottom w:val="single" w:sz="4" w:space="0" w:color="808080"/>
              <w:right w:val="single" w:sz="4" w:space="0" w:color="808080"/>
            </w:tcBorders>
          </w:tcPr>
          <w:p w14:paraId="27C076A3" w14:textId="77777777" w:rsidR="003C5F99" w:rsidRPr="009B55F7" w:rsidRDefault="003C5F99" w:rsidP="005A2E37">
            <w:pPr>
              <w:pStyle w:val="TAL"/>
              <w:rPr>
                <w:b/>
                <w:i/>
              </w:rPr>
            </w:pPr>
            <w:r w:rsidRPr="009B55F7">
              <w:rPr>
                <w:b/>
                <w:i/>
              </w:rPr>
              <w:t>Definitions for parameters</w:t>
            </w:r>
          </w:p>
        </w:tc>
        <w:tc>
          <w:tcPr>
            <w:tcW w:w="1247" w:type="dxa"/>
            <w:tcBorders>
              <w:top w:val="single" w:sz="4" w:space="0" w:color="808080"/>
              <w:left w:val="single" w:sz="4" w:space="0" w:color="808080"/>
              <w:bottom w:val="single" w:sz="4" w:space="0" w:color="808080"/>
              <w:right w:val="single" w:sz="4" w:space="0" w:color="808080"/>
            </w:tcBorders>
          </w:tcPr>
          <w:p w14:paraId="1D94037D" w14:textId="77777777" w:rsidR="003C5F99" w:rsidRPr="0095297E" w:rsidRDefault="003C5F99" w:rsidP="005A2E37">
            <w:pPr>
              <w:pStyle w:val="TAL"/>
            </w:pPr>
            <w:r w:rsidRPr="0095297E">
              <w:t>Per</w:t>
            </w:r>
          </w:p>
        </w:tc>
        <w:tc>
          <w:tcPr>
            <w:tcW w:w="567" w:type="dxa"/>
            <w:tcBorders>
              <w:top w:val="single" w:sz="4" w:space="0" w:color="808080"/>
              <w:left w:val="single" w:sz="4" w:space="0" w:color="808080"/>
              <w:bottom w:val="single" w:sz="4" w:space="0" w:color="808080"/>
              <w:right w:val="single" w:sz="4" w:space="0" w:color="808080"/>
            </w:tcBorders>
          </w:tcPr>
          <w:p w14:paraId="525695B2" w14:textId="77777777" w:rsidR="003C5F99" w:rsidRPr="0095297E" w:rsidRDefault="003C5F99" w:rsidP="005A2E37">
            <w:pPr>
              <w:pStyle w:val="TAL"/>
            </w:pPr>
            <w:r w:rsidRPr="0095297E">
              <w:t>M</w:t>
            </w:r>
          </w:p>
        </w:tc>
        <w:tc>
          <w:tcPr>
            <w:tcW w:w="709" w:type="dxa"/>
            <w:tcBorders>
              <w:top w:val="single" w:sz="4" w:space="0" w:color="808080"/>
              <w:left w:val="single" w:sz="4" w:space="0" w:color="808080"/>
              <w:bottom w:val="single" w:sz="4" w:space="0" w:color="808080"/>
              <w:right w:val="single" w:sz="4" w:space="0" w:color="808080"/>
            </w:tcBorders>
          </w:tcPr>
          <w:p w14:paraId="5EB9ABD9" w14:textId="77777777" w:rsidR="003C5F99" w:rsidRPr="0095297E" w:rsidRDefault="003C5F99" w:rsidP="005A2E37">
            <w:pPr>
              <w:pStyle w:val="TAL"/>
            </w:pPr>
            <w:r w:rsidRPr="0095297E">
              <w:t>FDD-TDD</w:t>
            </w:r>
          </w:p>
          <w:p w14:paraId="14028A0A" w14:textId="77777777" w:rsidR="003C5F99" w:rsidRPr="0095297E" w:rsidRDefault="003C5F99" w:rsidP="005A2E37">
            <w:pPr>
              <w:pStyle w:val="TAL"/>
            </w:pPr>
            <w:r w:rsidRPr="0095297E">
              <w:t>DIFF</w:t>
            </w:r>
          </w:p>
        </w:tc>
        <w:tc>
          <w:tcPr>
            <w:tcW w:w="728" w:type="dxa"/>
            <w:tcBorders>
              <w:top w:val="single" w:sz="4" w:space="0" w:color="808080"/>
              <w:left w:val="single" w:sz="4" w:space="0" w:color="808080"/>
              <w:bottom w:val="single" w:sz="4" w:space="0" w:color="808080"/>
              <w:right w:val="single" w:sz="4" w:space="0" w:color="808080"/>
            </w:tcBorders>
          </w:tcPr>
          <w:p w14:paraId="40764BD1" w14:textId="77777777" w:rsidR="003C5F99" w:rsidRPr="0095297E" w:rsidRDefault="003C5F99" w:rsidP="005A2E37">
            <w:pPr>
              <w:pStyle w:val="TAL"/>
            </w:pPr>
            <w:r w:rsidRPr="0095297E">
              <w:t>FR1-FR2</w:t>
            </w:r>
          </w:p>
          <w:p w14:paraId="154774E2" w14:textId="77777777" w:rsidR="003C5F99" w:rsidRPr="0095297E" w:rsidRDefault="003C5F99" w:rsidP="005A2E37">
            <w:pPr>
              <w:pStyle w:val="TAL"/>
            </w:pPr>
            <w:r w:rsidRPr="0095297E">
              <w:t>DIFF</w:t>
            </w:r>
          </w:p>
        </w:tc>
      </w:tr>
      <w:tr w:rsidR="003C5F99" w:rsidRPr="0095297E" w14:paraId="4BC418CD" w14:textId="77777777" w:rsidTr="003C5F99">
        <w:trPr>
          <w:cantSplit/>
          <w:tblHeader/>
        </w:trPr>
        <w:tc>
          <w:tcPr>
            <w:tcW w:w="6379" w:type="dxa"/>
          </w:tcPr>
          <w:p w14:paraId="6817EC00" w14:textId="77777777" w:rsidR="003C5F99" w:rsidRPr="0095297E" w:rsidRDefault="003C5F99" w:rsidP="005A2E37">
            <w:pPr>
              <w:pStyle w:val="TAL"/>
              <w:rPr>
                <w:b/>
                <w:i/>
              </w:rPr>
            </w:pPr>
            <w:r>
              <w:rPr>
                <w:b/>
                <w:i/>
              </w:rPr>
              <w:t>[</w:t>
            </w:r>
            <w:bookmarkStart w:id="1" w:name="_Hlk150960138"/>
            <w:r w:rsidRPr="00CE198D">
              <w:rPr>
                <w:b/>
                <w:i/>
              </w:rPr>
              <w:t>powerBoostRel18</w:t>
            </w:r>
            <w:bookmarkEnd w:id="1"/>
            <w:r>
              <w:rPr>
                <w:b/>
                <w:i/>
              </w:rPr>
              <w:t>]</w:t>
            </w:r>
          </w:p>
          <w:p w14:paraId="78C5BCCC" w14:textId="77777777" w:rsidR="003C5F99" w:rsidRPr="0095297E" w:rsidRDefault="003C5F99" w:rsidP="005A2E37">
            <w:pPr>
              <w:pStyle w:val="TAL"/>
            </w:pPr>
            <w:r w:rsidRPr="0095297E">
              <w:t>Indicates whether UE supports power boosting for pi/2 BPSK</w:t>
            </w:r>
            <w:r>
              <w:t xml:space="preserve"> and QPSK</w:t>
            </w:r>
            <w:r w:rsidRPr="00126A11">
              <w:rPr>
                <w:lang w:val="en-US"/>
              </w:rPr>
              <w:t xml:space="preserve"> </w:t>
            </w:r>
            <w:r>
              <w:rPr>
                <w:lang w:val="en-US"/>
              </w:rPr>
              <w:t xml:space="preserve">without modified </w:t>
            </w:r>
            <w:r w:rsidRPr="00126A11">
              <w:rPr>
                <w:lang w:val="en-US"/>
              </w:rPr>
              <w:t>spectrum flatness requirement</w:t>
            </w:r>
            <w:r>
              <w:rPr>
                <w:lang w:val="en-US"/>
              </w:rPr>
              <w:t xml:space="preserve"> for MPR reduction</w:t>
            </w:r>
            <w:r w:rsidRPr="0095297E">
              <w:t xml:space="preserve">, when applicable as defined in 6.2 of TS 38.101-1. </w:t>
            </w:r>
          </w:p>
        </w:tc>
        <w:tc>
          <w:tcPr>
            <w:tcW w:w="1247" w:type="dxa"/>
          </w:tcPr>
          <w:p w14:paraId="54E8E787" w14:textId="77777777" w:rsidR="003C5F99" w:rsidRPr="0095297E" w:rsidRDefault="003C5F99" w:rsidP="005A2E37">
            <w:pPr>
              <w:pStyle w:val="TAL"/>
              <w:jc w:val="center"/>
            </w:pPr>
            <w:r w:rsidRPr="002E5E2F">
              <w:t>Per FS</w:t>
            </w:r>
          </w:p>
        </w:tc>
        <w:tc>
          <w:tcPr>
            <w:tcW w:w="567" w:type="dxa"/>
          </w:tcPr>
          <w:p w14:paraId="060704FB" w14:textId="77777777" w:rsidR="003C5F99" w:rsidRPr="0095297E" w:rsidRDefault="003C5F99" w:rsidP="005A2E37">
            <w:pPr>
              <w:pStyle w:val="TAL"/>
              <w:jc w:val="center"/>
            </w:pPr>
            <w:r>
              <w:t>NO</w:t>
            </w:r>
          </w:p>
        </w:tc>
        <w:tc>
          <w:tcPr>
            <w:tcW w:w="709" w:type="dxa"/>
          </w:tcPr>
          <w:p w14:paraId="5656C9FA" w14:textId="77777777" w:rsidR="003C5F99" w:rsidRPr="0095297E" w:rsidRDefault="003C5F99" w:rsidP="005A2E37">
            <w:pPr>
              <w:pStyle w:val="TAL"/>
              <w:jc w:val="center"/>
            </w:pPr>
            <w:r>
              <w:t>NO</w:t>
            </w:r>
            <w:r w:rsidRPr="0095297E">
              <w:t xml:space="preserve"> </w:t>
            </w:r>
          </w:p>
        </w:tc>
        <w:tc>
          <w:tcPr>
            <w:tcW w:w="728" w:type="dxa"/>
          </w:tcPr>
          <w:p w14:paraId="5A8F6FE2" w14:textId="77777777" w:rsidR="003C5F99" w:rsidRPr="0095297E" w:rsidRDefault="003C5F99" w:rsidP="005A2E37">
            <w:pPr>
              <w:pStyle w:val="TAL"/>
              <w:jc w:val="center"/>
            </w:pPr>
            <w:r w:rsidRPr="0095297E">
              <w:t>FR1 only</w:t>
            </w:r>
          </w:p>
        </w:tc>
      </w:tr>
      <w:tr w:rsidR="003C5F99" w:rsidRPr="0095297E" w14:paraId="60396919" w14:textId="77777777" w:rsidTr="003C5F99">
        <w:trPr>
          <w:cantSplit/>
          <w:tblHeader/>
        </w:trPr>
        <w:tc>
          <w:tcPr>
            <w:tcW w:w="6379" w:type="dxa"/>
          </w:tcPr>
          <w:p w14:paraId="3CF8594C" w14:textId="77777777" w:rsidR="003C5F99" w:rsidRPr="0095297E" w:rsidRDefault="003C5F99" w:rsidP="005A2E37">
            <w:pPr>
              <w:pStyle w:val="TAL"/>
              <w:rPr>
                <w:b/>
                <w:i/>
              </w:rPr>
            </w:pPr>
            <w:r>
              <w:rPr>
                <w:b/>
                <w:i/>
              </w:rPr>
              <w:t>[</w:t>
            </w:r>
            <w:proofErr w:type="spellStart"/>
            <w:r w:rsidRPr="00CE198D">
              <w:rPr>
                <w:b/>
                <w:i/>
              </w:rPr>
              <w:t>powerBoost</w:t>
            </w:r>
            <w:r>
              <w:rPr>
                <w:b/>
                <w:i/>
                <w:lang w:val="en-US"/>
              </w:rPr>
              <w:t>TS</w:t>
            </w:r>
            <w:proofErr w:type="spellEnd"/>
            <w:r w:rsidRPr="00CE198D">
              <w:rPr>
                <w:b/>
                <w:i/>
              </w:rPr>
              <w:t>Rel18</w:t>
            </w:r>
            <w:r>
              <w:rPr>
                <w:b/>
                <w:i/>
              </w:rPr>
              <w:t>]</w:t>
            </w:r>
          </w:p>
          <w:p w14:paraId="1E8696DF" w14:textId="77777777" w:rsidR="003C5F99" w:rsidRDefault="003C5F99" w:rsidP="005A2E37">
            <w:pPr>
              <w:pStyle w:val="TAL"/>
              <w:rPr>
                <w:b/>
                <w:i/>
              </w:rPr>
            </w:pPr>
            <w:r w:rsidRPr="0095297E">
              <w:t>Indicates whether UE supports power boosting for pi/2 BPSK</w:t>
            </w:r>
            <w:r>
              <w:t xml:space="preserve"> and QPSK</w:t>
            </w:r>
            <w:r>
              <w:rPr>
                <w:lang w:val="en-US"/>
              </w:rPr>
              <w:t xml:space="preserve"> with modified spectrum flatness requirement for MPR reduction</w:t>
            </w:r>
            <w:r w:rsidRPr="0095297E">
              <w:t>, when applicable as defined in 6.2 of TS 38.101-1.</w:t>
            </w:r>
          </w:p>
        </w:tc>
        <w:tc>
          <w:tcPr>
            <w:tcW w:w="1247" w:type="dxa"/>
          </w:tcPr>
          <w:p w14:paraId="2C56AFD2" w14:textId="77777777" w:rsidR="003C5F99" w:rsidRPr="0095297E" w:rsidRDefault="003C5F99" w:rsidP="005A2E37">
            <w:pPr>
              <w:pStyle w:val="TAL"/>
              <w:jc w:val="center"/>
            </w:pPr>
            <w:r w:rsidRPr="002E5E2F">
              <w:t>Per FS</w:t>
            </w:r>
          </w:p>
        </w:tc>
        <w:tc>
          <w:tcPr>
            <w:tcW w:w="567" w:type="dxa"/>
          </w:tcPr>
          <w:p w14:paraId="14A3D7B8" w14:textId="77777777" w:rsidR="003C5F99" w:rsidRDefault="003C5F99" w:rsidP="005A2E37">
            <w:pPr>
              <w:pStyle w:val="TAL"/>
              <w:jc w:val="center"/>
            </w:pPr>
            <w:r>
              <w:t>NO</w:t>
            </w:r>
          </w:p>
        </w:tc>
        <w:tc>
          <w:tcPr>
            <w:tcW w:w="709" w:type="dxa"/>
          </w:tcPr>
          <w:p w14:paraId="6C976BCF" w14:textId="77777777" w:rsidR="003C5F99" w:rsidRDefault="003C5F99" w:rsidP="005A2E37">
            <w:pPr>
              <w:pStyle w:val="TAL"/>
              <w:jc w:val="center"/>
            </w:pPr>
            <w:r>
              <w:t>NO</w:t>
            </w:r>
            <w:r w:rsidRPr="0095297E">
              <w:t xml:space="preserve"> </w:t>
            </w:r>
          </w:p>
        </w:tc>
        <w:tc>
          <w:tcPr>
            <w:tcW w:w="728" w:type="dxa"/>
          </w:tcPr>
          <w:p w14:paraId="080FC65C" w14:textId="77777777" w:rsidR="003C5F99" w:rsidRPr="0095297E" w:rsidRDefault="003C5F99" w:rsidP="005A2E37">
            <w:pPr>
              <w:pStyle w:val="TAL"/>
              <w:jc w:val="center"/>
            </w:pPr>
            <w:r w:rsidRPr="0095297E">
              <w:t>FR1 only</w:t>
            </w:r>
          </w:p>
        </w:tc>
      </w:tr>
    </w:tbl>
    <w:p w14:paraId="1581CE55" w14:textId="77777777" w:rsidR="003C5F99" w:rsidRDefault="003C5F99" w:rsidP="003C5F99">
      <w:pPr>
        <w:ind w:left="567"/>
      </w:pPr>
    </w:p>
    <w:p w14:paraId="2FD55C16" w14:textId="77777777" w:rsidR="003C5F99" w:rsidRDefault="003C5F99" w:rsidP="003C5F99">
      <w:pPr>
        <w:ind w:left="567"/>
      </w:pPr>
      <w:r>
        <w:t xml:space="preserve">RAN4 agrees to enable/disable the Rel-18 power boosting with RRC </w:t>
      </w:r>
      <w:proofErr w:type="spellStart"/>
      <w:r>
        <w:t>signalling</w:t>
      </w:r>
      <w:proofErr w:type="spellEnd"/>
      <w:r>
        <w:t xml:space="preserve"> and agree to add two separate RRC IEs, </w:t>
      </w:r>
      <w:r w:rsidRPr="009F7EF7">
        <w:rPr>
          <w:i/>
          <w:iCs/>
        </w:rPr>
        <w:t>[powerBoostPi2BPSK</w:t>
      </w:r>
      <w:r>
        <w:rPr>
          <w:i/>
          <w:iCs/>
        </w:rPr>
        <w:t>Rel18</w:t>
      </w:r>
      <w:r w:rsidRPr="009F7EF7">
        <w:rPr>
          <w:i/>
          <w:iCs/>
        </w:rPr>
        <w:t>]</w:t>
      </w:r>
      <w:r>
        <w:t xml:space="preserve"> for BPSK power boosting and </w:t>
      </w:r>
      <w:r w:rsidRPr="009F7EF7">
        <w:rPr>
          <w:i/>
          <w:iCs/>
        </w:rPr>
        <w:t>[</w:t>
      </w:r>
      <w:r w:rsidRPr="007F54BD">
        <w:rPr>
          <w:i/>
          <w:iCs/>
        </w:rPr>
        <w:t>powerBoostQPSKRel18</w:t>
      </w:r>
      <w:r w:rsidRPr="009F7EF7">
        <w:rPr>
          <w:i/>
          <w:iCs/>
        </w:rPr>
        <w:t>]</w:t>
      </w:r>
      <w:r>
        <w:t xml:space="preserve"> for QPSK power boosting.</w:t>
      </w:r>
    </w:p>
    <w:p w14:paraId="273A7D3A" w14:textId="77777777" w:rsidR="003C5F99" w:rsidRDefault="003C5F99" w:rsidP="003C5F99">
      <w:pPr>
        <w:ind w:left="567"/>
      </w:pPr>
      <w:r>
        <w:t xml:space="preserve">Additionally, </w:t>
      </w:r>
      <w:r w:rsidRPr="00E40C3E">
        <w:t>RAN4 agrees</w:t>
      </w:r>
      <w:r>
        <w:t xml:space="preserve"> legacy</w:t>
      </w:r>
      <w:r w:rsidRPr="00E40C3E">
        <w:t xml:space="preserve"> </w:t>
      </w:r>
      <w:r w:rsidRPr="00E40C3E">
        <w:rPr>
          <w:i/>
          <w:iCs/>
        </w:rPr>
        <w:t>powerBoostPi2BPSK</w:t>
      </w:r>
      <w:r w:rsidRPr="00E40C3E">
        <w:t xml:space="preserve"> cannot be configured at the same time as [</w:t>
      </w:r>
      <w:r w:rsidRPr="00E40C3E">
        <w:rPr>
          <w:i/>
          <w:iCs/>
        </w:rPr>
        <w:t>powerBoostPi2BPSKRel18</w:t>
      </w:r>
      <w:r w:rsidRPr="00E40C3E">
        <w:t>]</w:t>
      </w:r>
    </w:p>
    <w:p w14:paraId="09E2ED9E" w14:textId="77777777" w:rsidR="003C5F99" w:rsidRPr="00113B0E" w:rsidRDefault="003C5F99" w:rsidP="003C5F99">
      <w:pPr>
        <w:spacing w:after="120"/>
        <w:ind w:left="567"/>
        <w:rPr>
          <w:rFonts w:cs="Arial"/>
          <w:b/>
        </w:rPr>
      </w:pPr>
      <w:r w:rsidRPr="00113B0E">
        <w:rPr>
          <w:rFonts w:cs="Arial"/>
          <w:b/>
        </w:rPr>
        <w:t>2. Actions:</w:t>
      </w:r>
    </w:p>
    <w:p w14:paraId="61C28E2E" w14:textId="77777777" w:rsidR="003C5F99" w:rsidRPr="00113B0E" w:rsidRDefault="003C5F99" w:rsidP="003C5F99">
      <w:pPr>
        <w:spacing w:after="120"/>
        <w:ind w:left="2552" w:hanging="1985"/>
        <w:rPr>
          <w:rFonts w:cs="Arial"/>
          <w:b/>
        </w:rPr>
      </w:pPr>
      <w:r w:rsidRPr="00113B0E">
        <w:rPr>
          <w:rFonts w:cs="Arial"/>
          <w:b/>
        </w:rPr>
        <w:t>To RAN WG</w:t>
      </w:r>
      <w:r>
        <w:rPr>
          <w:rFonts w:cs="Arial"/>
          <w:b/>
        </w:rPr>
        <w:t>1/WG2</w:t>
      </w:r>
      <w:r w:rsidRPr="00113B0E">
        <w:rPr>
          <w:rFonts w:cs="Arial"/>
          <w:b/>
        </w:rPr>
        <w:t xml:space="preserve"> group.</w:t>
      </w:r>
    </w:p>
    <w:p w14:paraId="7FD554FF" w14:textId="77777777" w:rsidR="003C5F99" w:rsidRPr="00F46FBB" w:rsidRDefault="003C5F99" w:rsidP="003C5F99">
      <w:pPr>
        <w:spacing w:after="120"/>
        <w:ind w:left="1560" w:hanging="993"/>
        <w:rPr>
          <w:rFonts w:cs="Arial"/>
          <w:bCs/>
        </w:rPr>
      </w:pPr>
      <w:r w:rsidRPr="00113B0E">
        <w:rPr>
          <w:rFonts w:cs="Arial"/>
          <w:b/>
        </w:rPr>
        <w:t xml:space="preserve">ACTION: </w:t>
      </w:r>
      <w:r w:rsidRPr="00113B0E">
        <w:rPr>
          <w:rFonts w:cs="Arial"/>
          <w:b/>
        </w:rPr>
        <w:tab/>
      </w:r>
      <w:r>
        <w:rPr>
          <w:rFonts w:cs="Arial"/>
          <w:b/>
        </w:rPr>
        <w:t>Please take this into account when defining capabilities for Rel-18.</w:t>
      </w:r>
    </w:p>
    <w:p w14:paraId="20D2C12D" w14:textId="759A4B71" w:rsidR="00F14586" w:rsidRPr="001A4EBA" w:rsidRDefault="00F14586" w:rsidP="00F14586">
      <w:pPr>
        <w:jc w:val="both"/>
      </w:pPr>
      <w:r w:rsidRPr="001A4EBA">
        <w:t>In RAN#100, a way forward for the work on MPR/PAR reduction was discussed resulting in the following agreement</w:t>
      </w:r>
      <w:r w:rsidR="00643882">
        <w:t xml:space="preserve"> </w:t>
      </w:r>
      <w:r w:rsidR="00643882">
        <w:fldChar w:fldCharType="begin"/>
      </w:r>
      <w:r w:rsidR="00643882">
        <w:instrText xml:space="preserve"> REF _Ref157095765 \r \h </w:instrText>
      </w:r>
      <w:r w:rsidR="00643882">
        <w:fldChar w:fldCharType="separate"/>
      </w:r>
      <w:r w:rsidR="00C03A3F">
        <w:t>[2]</w:t>
      </w:r>
      <w:r w:rsidR="00643882">
        <w:fldChar w:fldCharType="end"/>
      </w:r>
      <w:r>
        <w:t>, which concluded the work in RAN1 on this aspect.</w:t>
      </w:r>
      <w:r w:rsidRPr="001A4EBA">
        <w:t xml:space="preserve">  </w:t>
      </w:r>
    </w:p>
    <w:p w14:paraId="50498FDF" w14:textId="77777777" w:rsidR="00F14586" w:rsidRPr="001A4EBA" w:rsidRDefault="00F14586" w:rsidP="00F14586">
      <w:pPr>
        <w:spacing w:after="0" w:line="216" w:lineRule="auto"/>
        <w:ind w:left="360"/>
        <w:contextualSpacing/>
        <w:jc w:val="both"/>
        <w:rPr>
          <w:rFonts w:ascii="Times New Roman" w:eastAsia="Times New Roman" w:hAnsi="Times New Roman" w:cs="Times New Roman"/>
          <w:szCs w:val="20"/>
        </w:rPr>
      </w:pPr>
      <w:r w:rsidRPr="001A4EBA">
        <w:rPr>
          <w:rFonts w:ascii="Yu Gothic" w:eastAsia="Yu Gothic" w:hAnsi="Yu Gothic" w:cs="+mn-cs" w:hint="eastAsia"/>
          <w:color w:val="000000"/>
          <w:kern w:val="24"/>
          <w:szCs w:val="20"/>
          <w:highlight w:val="green"/>
          <w:u w:val="single"/>
        </w:rPr>
        <w:lastRenderedPageBreak/>
        <w:t>Proposal #1</w:t>
      </w:r>
    </w:p>
    <w:p w14:paraId="31214484" w14:textId="77777777" w:rsidR="00F14586" w:rsidRPr="001A4EBA" w:rsidRDefault="00F14586" w:rsidP="00F14586">
      <w:pPr>
        <w:numPr>
          <w:ilvl w:val="1"/>
          <w:numId w:val="23"/>
        </w:numPr>
        <w:spacing w:after="0" w:line="216" w:lineRule="auto"/>
        <w:ind w:left="720"/>
        <w:contextualSpacing/>
        <w:jc w:val="both"/>
        <w:rPr>
          <w:rFonts w:ascii="Times New Roman" w:eastAsia="Times New Roman" w:hAnsi="Times New Roman" w:cs="Times New Roman"/>
          <w:szCs w:val="20"/>
        </w:rPr>
      </w:pPr>
      <w:r w:rsidRPr="001A4EBA">
        <w:rPr>
          <w:rFonts w:ascii="Yu Gothic" w:eastAsia="Yu Gothic" w:hAnsi="Yu Gothic" w:cs="+mn-cs" w:hint="eastAsia"/>
          <w:b/>
          <w:bCs/>
          <w:color w:val="000000"/>
          <w:kern w:val="24"/>
          <w:szCs w:val="20"/>
        </w:rPr>
        <w:t>No RAN1 specification impact is expected for MPR/PAR reduction in Rel-18 UL Coverage WI</w:t>
      </w:r>
    </w:p>
    <w:p w14:paraId="644E4202" w14:textId="77777777" w:rsidR="00F14586" w:rsidRPr="001A4EBA" w:rsidRDefault="00F14586" w:rsidP="00F14586">
      <w:pPr>
        <w:numPr>
          <w:ilvl w:val="2"/>
          <w:numId w:val="23"/>
        </w:numPr>
        <w:spacing w:after="180" w:line="216" w:lineRule="auto"/>
        <w:ind w:left="1080"/>
        <w:jc w:val="both"/>
        <w:rPr>
          <w:rFonts w:ascii="Times New Roman" w:eastAsia="Times New Roman" w:hAnsi="Times New Roman" w:cs="Times New Roman"/>
          <w:szCs w:val="20"/>
        </w:rPr>
      </w:pPr>
      <w:r w:rsidRPr="001A4EBA">
        <w:rPr>
          <w:rFonts w:ascii="Yu Gothic" w:eastAsia="Yu Gothic" w:hAnsi="Yu Gothic" w:cs="+mn-cs" w:hint="eastAsia"/>
          <w:b/>
          <w:bCs/>
          <w:color w:val="000000"/>
          <w:kern w:val="24"/>
          <w:szCs w:val="20"/>
        </w:rPr>
        <w:t xml:space="preserve">RAN4 will define new optional requirements in the form of at least MPR reduction suitable for a transparent scheme (such as FDSS) that have no RAN1 specification </w:t>
      </w:r>
      <w:proofErr w:type="gramStart"/>
      <w:r w:rsidRPr="001A4EBA">
        <w:rPr>
          <w:rFonts w:ascii="Yu Gothic" w:eastAsia="Yu Gothic" w:hAnsi="Yu Gothic" w:cs="+mn-cs" w:hint="eastAsia"/>
          <w:b/>
          <w:bCs/>
          <w:color w:val="000000"/>
          <w:kern w:val="24"/>
          <w:szCs w:val="20"/>
        </w:rPr>
        <w:t>impact</w:t>
      </w:r>
      <w:proofErr w:type="gramEnd"/>
    </w:p>
    <w:p w14:paraId="67B0BE6B" w14:textId="77777777" w:rsidR="00847032" w:rsidRDefault="00F14586" w:rsidP="00F14586">
      <w:pPr>
        <w:jc w:val="both"/>
      </w:pPr>
      <w:r>
        <w:t>Given the power boosting features as defined above</w:t>
      </w:r>
      <w:r w:rsidR="00965615">
        <w:t xml:space="preserve"> for MPR reduction</w:t>
      </w:r>
      <w:r>
        <w:t>, the expectation in the agreement above still holds true</w:t>
      </w:r>
      <w:r w:rsidR="00965615">
        <w:t xml:space="preserve"> and</w:t>
      </w:r>
      <w:r>
        <w:t xml:space="preserve"> there is no RAN1 specification impact.  </w:t>
      </w:r>
    </w:p>
    <w:p w14:paraId="15E426A0" w14:textId="3B71C164" w:rsidR="00F14586" w:rsidRDefault="00847032" w:rsidP="00F14586">
      <w:pPr>
        <w:jc w:val="both"/>
      </w:pPr>
      <w:r>
        <w:t xml:space="preserve">However, it is </w:t>
      </w:r>
      <w:r w:rsidR="00F14586">
        <w:t xml:space="preserve">unclear to us if it is RAN4’s intention that RAN1 </w:t>
      </w:r>
      <w:r w:rsidR="00C25960">
        <w:t xml:space="preserve">should contribute to the definition of these new </w:t>
      </w:r>
      <w:r w:rsidR="00F14586">
        <w:t xml:space="preserve">features or if RAN4 intend to </w:t>
      </w:r>
      <w:r w:rsidR="00C25960">
        <w:t xml:space="preserve">work with RAN2 to </w:t>
      </w:r>
      <w:r w:rsidR="00F14586">
        <w:t xml:space="preserve">do so.  Since these are RAN4 RF features, our </w:t>
      </w:r>
      <w:r w:rsidR="00565FCE">
        <w:t>understanding</w:t>
      </w:r>
      <w:r w:rsidR="00F14586">
        <w:t xml:space="preserve"> is that RAN4 should </w:t>
      </w:r>
      <w:r w:rsidR="00C25960">
        <w:t xml:space="preserve">work with RAN2 to </w:t>
      </w:r>
      <w:r w:rsidR="00F14586">
        <w:t xml:space="preserve">add them into 38.306.  </w:t>
      </w:r>
      <w:r w:rsidR="00E4788C">
        <w:t xml:space="preserve">To ensure that there is no miscommunication and that the features are </w:t>
      </w:r>
      <w:r w:rsidR="00C25960">
        <w:t xml:space="preserve">completely defined </w:t>
      </w:r>
      <w:r w:rsidR="00E4788C">
        <w:t xml:space="preserve">by some working group, we propose to reply to RAN4 that there is no RAN1 specification impact and that the feature appears to us to be something RAN4 should include in their UE capability discussions and that they should </w:t>
      </w:r>
      <w:r w:rsidR="00C25960">
        <w:t xml:space="preserve">work with RAN2 to </w:t>
      </w:r>
      <w:r w:rsidR="00E4788C">
        <w:t>specify.</w:t>
      </w:r>
    </w:p>
    <w:p w14:paraId="304D826A" w14:textId="7C6B856F" w:rsidR="00EC1008" w:rsidRDefault="00565FCE" w:rsidP="00F63093">
      <w:pPr>
        <w:pStyle w:val="Observation"/>
      </w:pPr>
      <w:bookmarkStart w:id="2" w:name="_Toc158727445"/>
      <w:r>
        <w:t xml:space="preserve">The understanding from RAN#100 that there is no RAN1 specification impact for Rel-18 MPR reduction features continues to hold true, </w:t>
      </w:r>
      <w:proofErr w:type="gramStart"/>
      <w:r>
        <w:t>i.e.</w:t>
      </w:r>
      <w:proofErr w:type="gramEnd"/>
      <w:r>
        <w:t xml:space="preserve"> there is no RAN1 specification impact from the UE capabilities </w:t>
      </w:r>
      <w:r w:rsidRPr="000C7BB7">
        <w:rPr>
          <w:i/>
          <w:iCs/>
        </w:rPr>
        <w:t>powerBoostRel18</w:t>
      </w:r>
      <w:r>
        <w:t xml:space="preserve"> and </w:t>
      </w:r>
      <w:r w:rsidRPr="000C7BB7">
        <w:rPr>
          <w:i/>
          <w:iCs/>
        </w:rPr>
        <w:t>powerBoostTSRel18</w:t>
      </w:r>
      <w:r>
        <w:t>.</w:t>
      </w:r>
      <w:bookmarkEnd w:id="2"/>
    </w:p>
    <w:p w14:paraId="76678436" w14:textId="03F1DEB8" w:rsidR="00565FCE" w:rsidRDefault="00565FCE" w:rsidP="00F63093">
      <w:pPr>
        <w:pStyle w:val="Observation"/>
      </w:pPr>
      <w:bookmarkStart w:id="3" w:name="_Toc158727446"/>
      <w:r>
        <w:t xml:space="preserve">It is unclear if RAN4 intend RAN1 to contribute to the definition of </w:t>
      </w:r>
      <w:r w:rsidRPr="00C217BB">
        <w:rPr>
          <w:i/>
          <w:iCs/>
        </w:rPr>
        <w:t>powerBoostRel18</w:t>
      </w:r>
      <w:r>
        <w:t xml:space="preserve"> and </w:t>
      </w:r>
      <w:r w:rsidRPr="00C217BB">
        <w:rPr>
          <w:i/>
          <w:iCs/>
        </w:rPr>
        <w:t>powerBoostTSRel18</w:t>
      </w:r>
      <w:r>
        <w:t>.</w:t>
      </w:r>
      <w:bookmarkEnd w:id="3"/>
    </w:p>
    <w:p w14:paraId="5D29A826" w14:textId="1BE22806" w:rsidR="00EC1008" w:rsidRDefault="00EC1008" w:rsidP="00F63093">
      <w:pPr>
        <w:pStyle w:val="Proposal"/>
      </w:pPr>
      <w:bookmarkStart w:id="4" w:name="_Toc159164161"/>
      <w:r>
        <w:t xml:space="preserve">Inform RAN4 </w:t>
      </w:r>
      <w:r w:rsidR="006B1050">
        <w:t xml:space="preserve">(and CC: RAN2) </w:t>
      </w:r>
      <w:r>
        <w:t xml:space="preserve">that RAN1 do not find any RAN1 specification impact to the UE capabilities </w:t>
      </w:r>
      <w:r w:rsidRPr="00C217BB">
        <w:rPr>
          <w:i/>
          <w:iCs/>
        </w:rPr>
        <w:t>powerBoostRel18</w:t>
      </w:r>
      <w:r>
        <w:t xml:space="preserve"> and </w:t>
      </w:r>
      <w:r w:rsidRPr="00C217BB">
        <w:rPr>
          <w:i/>
          <w:iCs/>
        </w:rPr>
        <w:t>powerBoostTSRel18</w:t>
      </w:r>
      <w:r>
        <w:t xml:space="preserve"> and that RAN1 expects RAN4 and RAN2 to develop the specifications for these </w:t>
      </w:r>
      <w:r w:rsidR="00643882">
        <w:t xml:space="preserve">UE </w:t>
      </w:r>
      <w:r>
        <w:t>features.</w:t>
      </w:r>
      <w:bookmarkEnd w:id="4"/>
    </w:p>
    <w:p w14:paraId="37EB5693" w14:textId="699E0C6B" w:rsidR="00C01F33" w:rsidRPr="00CE0424" w:rsidRDefault="00F63093" w:rsidP="00CE0424">
      <w:pPr>
        <w:pStyle w:val="Heading1"/>
      </w:pPr>
      <w:r>
        <w:t>3</w:t>
      </w:r>
      <w:r>
        <w:tab/>
      </w:r>
      <w:r w:rsidR="00C01F33" w:rsidRPr="00CE0424">
        <w:t>Conclusion</w:t>
      </w:r>
    </w:p>
    <w:p w14:paraId="5A650F21" w14:textId="17650E6F" w:rsidR="008E065E" w:rsidRDefault="00A50F8E" w:rsidP="008E065E">
      <w:pPr>
        <w:pStyle w:val="BodyText"/>
        <w:rPr>
          <w:b/>
          <w:bCs/>
        </w:rPr>
      </w:pPr>
      <w:r w:rsidRPr="00A50F8E">
        <w:t xml:space="preserve">In this </w:t>
      </w:r>
      <w:r>
        <w:t>contribution</w:t>
      </w:r>
      <w:r w:rsidRPr="00A50F8E">
        <w:t xml:space="preserve">, </w:t>
      </w:r>
      <w:r>
        <w:t xml:space="preserve">we have discussed how UE features for MPR reduction identified in </w:t>
      </w:r>
      <w:r w:rsidRPr="00A50F8E">
        <w:t>RAN4</w:t>
      </w:r>
      <w:r>
        <w:t xml:space="preserve">’s LS </w:t>
      </w:r>
      <w:r w:rsidR="00643882">
        <w:fldChar w:fldCharType="begin"/>
      </w:r>
      <w:r w:rsidR="00643882">
        <w:instrText xml:space="preserve"> REF _Ref157095972 \r \h </w:instrText>
      </w:r>
      <w:r w:rsidR="00643882">
        <w:fldChar w:fldCharType="separate"/>
      </w:r>
      <w:r w:rsidR="00C03A3F">
        <w:t>[1]</w:t>
      </w:r>
      <w:r w:rsidR="00643882">
        <w:fldChar w:fldCharType="end"/>
      </w:r>
      <w:r w:rsidR="00643882">
        <w:t xml:space="preserve"> </w:t>
      </w:r>
      <w:r w:rsidRPr="00A50F8E">
        <w:t>should be addressed from a RAN1 perspective, and how RAN1 might reply</w:t>
      </w:r>
      <w:r w:rsidR="006B1050">
        <w:t xml:space="preserve"> </w:t>
      </w:r>
      <w:r w:rsidR="00F57098">
        <w:t>t</w:t>
      </w:r>
      <w:r w:rsidR="006B1050">
        <w:t>o RAN4</w:t>
      </w:r>
      <w:r w:rsidRPr="00A50F8E">
        <w:t>.</w:t>
      </w:r>
      <w:r>
        <w:t xml:space="preserve"> W</w:t>
      </w:r>
      <w:r w:rsidR="008E065E" w:rsidRPr="00CE0424">
        <w:t xml:space="preserve">e </w:t>
      </w:r>
      <w:r w:rsidR="008E065E">
        <w:t>made the following observations</w:t>
      </w:r>
      <w:r w:rsidR="008E065E" w:rsidRPr="00CE0424">
        <w:t>:</w:t>
      </w:r>
      <w:r w:rsidR="00C93814">
        <w:rPr>
          <w:b/>
          <w:bCs/>
        </w:rPr>
        <w:t xml:space="preserve"> </w:t>
      </w:r>
    </w:p>
    <w:p w14:paraId="22A2C4DC" w14:textId="3D726E60" w:rsidR="00281282" w:rsidRPr="00281282" w:rsidRDefault="00176658" w:rsidP="0028128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8727445" w:history="1">
        <w:r w:rsidR="00281282" w:rsidRPr="00281282">
          <w:rPr>
            <w:rStyle w:val="Hyperlink"/>
            <w:noProof/>
            <w:color w:val="auto"/>
            <w:u w:val="none"/>
          </w:rPr>
          <w:t>Observation 1</w:t>
        </w:r>
        <w:r w:rsidR="00281282" w:rsidRPr="00281282">
          <w:rPr>
            <w:rFonts w:asciiTheme="minorHAnsi" w:eastAsiaTheme="minorEastAsia" w:hAnsiTheme="minorHAnsi"/>
            <w:b w:val="0"/>
            <w:noProof/>
            <w:kern w:val="2"/>
            <w:sz w:val="22"/>
            <w:lang w:eastAsia="en-US"/>
            <w14:ligatures w14:val="standardContextual"/>
          </w:rPr>
          <w:tab/>
        </w:r>
        <w:r w:rsidR="00281282" w:rsidRPr="00281282">
          <w:rPr>
            <w:rStyle w:val="Hyperlink"/>
            <w:noProof/>
            <w:color w:val="auto"/>
            <w:u w:val="none"/>
          </w:rPr>
          <w:t xml:space="preserve">The understanding from RAN#100 that there is no RAN1 specification impact for Rel-18 MPR reduction features continues to hold true, i.e. there is no RAN1 specification impact from the UE capabilities </w:t>
        </w:r>
        <w:r w:rsidR="00281282" w:rsidRPr="000C7BB7">
          <w:rPr>
            <w:rStyle w:val="Hyperlink"/>
            <w:i/>
            <w:iCs/>
            <w:noProof/>
            <w:color w:val="auto"/>
            <w:u w:val="none"/>
          </w:rPr>
          <w:t>powerBoostRel18</w:t>
        </w:r>
        <w:r w:rsidR="00281282" w:rsidRPr="00281282">
          <w:rPr>
            <w:rStyle w:val="Hyperlink"/>
            <w:noProof/>
            <w:color w:val="auto"/>
            <w:u w:val="none"/>
          </w:rPr>
          <w:t xml:space="preserve"> and </w:t>
        </w:r>
        <w:r w:rsidR="00281282" w:rsidRPr="000C7BB7">
          <w:rPr>
            <w:rStyle w:val="Hyperlink"/>
            <w:i/>
            <w:iCs/>
            <w:noProof/>
            <w:color w:val="auto"/>
            <w:u w:val="none"/>
          </w:rPr>
          <w:t>powerBoostTSRel18</w:t>
        </w:r>
        <w:r w:rsidR="00281282" w:rsidRPr="00281282">
          <w:rPr>
            <w:rStyle w:val="Hyperlink"/>
            <w:noProof/>
            <w:color w:val="auto"/>
            <w:u w:val="none"/>
          </w:rPr>
          <w:t>.</w:t>
        </w:r>
      </w:hyperlink>
    </w:p>
    <w:p w14:paraId="5966EB3C" w14:textId="49965894" w:rsidR="00281282" w:rsidRPr="00281282" w:rsidRDefault="00176658" w:rsidP="0028128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8727446" w:history="1">
        <w:r w:rsidR="00281282" w:rsidRPr="00281282">
          <w:rPr>
            <w:rStyle w:val="Hyperlink"/>
            <w:noProof/>
            <w:color w:val="auto"/>
            <w:u w:val="none"/>
          </w:rPr>
          <w:t>Observation 2</w:t>
        </w:r>
        <w:r w:rsidR="00281282" w:rsidRPr="00281282">
          <w:rPr>
            <w:rFonts w:asciiTheme="minorHAnsi" w:eastAsiaTheme="minorEastAsia" w:hAnsiTheme="minorHAnsi"/>
            <w:b w:val="0"/>
            <w:noProof/>
            <w:kern w:val="2"/>
            <w:sz w:val="22"/>
            <w:lang w:eastAsia="en-US"/>
            <w14:ligatures w14:val="standardContextual"/>
          </w:rPr>
          <w:tab/>
        </w:r>
        <w:r w:rsidR="00281282" w:rsidRPr="00281282">
          <w:rPr>
            <w:rStyle w:val="Hyperlink"/>
            <w:noProof/>
            <w:color w:val="auto"/>
            <w:u w:val="none"/>
          </w:rPr>
          <w:t xml:space="preserve">It is unclear if RAN4 intend RAN1 to contribute to the definition of </w:t>
        </w:r>
        <w:r w:rsidR="00281282" w:rsidRPr="000C7BB7">
          <w:rPr>
            <w:rStyle w:val="Hyperlink"/>
            <w:i/>
            <w:iCs/>
            <w:noProof/>
            <w:color w:val="auto"/>
            <w:u w:val="none"/>
          </w:rPr>
          <w:t>powerBoostRel18</w:t>
        </w:r>
        <w:r w:rsidR="00281282" w:rsidRPr="00281282">
          <w:rPr>
            <w:rStyle w:val="Hyperlink"/>
            <w:noProof/>
            <w:color w:val="auto"/>
            <w:u w:val="none"/>
          </w:rPr>
          <w:t xml:space="preserve"> and </w:t>
        </w:r>
        <w:r w:rsidR="00281282" w:rsidRPr="000C7BB7">
          <w:rPr>
            <w:rStyle w:val="Hyperlink"/>
            <w:i/>
            <w:iCs/>
            <w:noProof/>
            <w:color w:val="auto"/>
            <w:u w:val="none"/>
          </w:rPr>
          <w:t>powerBoostTSRel18</w:t>
        </w:r>
        <w:r w:rsidR="00281282" w:rsidRPr="00281282">
          <w:rPr>
            <w:rStyle w:val="Hyperlink"/>
            <w:noProof/>
            <w:color w:val="auto"/>
            <w:u w:val="none"/>
          </w:rPr>
          <w:t>.</w:t>
        </w:r>
      </w:hyperlink>
    </w:p>
    <w:p w14:paraId="69E0F089" w14:textId="0666C978" w:rsidR="00281282" w:rsidRDefault="00281282" w:rsidP="00281282">
      <w:pPr>
        <w:pStyle w:val="BodyText"/>
      </w:pPr>
      <w:r>
        <w:rPr>
          <w:rFonts w:cs="Arial"/>
          <w:szCs w:val="20"/>
        </w:rPr>
        <w:t>We therefore propose:</w:t>
      </w:r>
    </w:p>
    <w:p w14:paraId="0FE338FD" w14:textId="7914328F" w:rsidR="00C03A3F" w:rsidRDefault="00281282">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Cs/>
        </w:rPr>
        <w:instrText xml:space="preserve"> TOC \n \h \z \t "Proposal" \c </w:instrText>
      </w:r>
      <w:r>
        <w:rPr>
          <w:b w:val="0"/>
          <w:bCs/>
        </w:rPr>
        <w:fldChar w:fldCharType="separate"/>
      </w:r>
      <w:hyperlink w:anchor="_Toc159164161" w:history="1">
        <w:r w:rsidR="00C03A3F" w:rsidRPr="004B665C">
          <w:rPr>
            <w:rStyle w:val="Hyperlink"/>
            <w:noProof/>
          </w:rPr>
          <w:t>Proposal 1</w:t>
        </w:r>
        <w:r w:rsidR="00C03A3F">
          <w:rPr>
            <w:rFonts w:asciiTheme="minorHAnsi" w:eastAsiaTheme="minorEastAsia" w:hAnsiTheme="minorHAnsi"/>
            <w:b w:val="0"/>
            <w:noProof/>
            <w:kern w:val="2"/>
            <w:sz w:val="22"/>
            <w:lang w:eastAsia="en-US"/>
            <w14:ligatures w14:val="standardContextual"/>
          </w:rPr>
          <w:tab/>
        </w:r>
        <w:r w:rsidR="00C03A3F" w:rsidRPr="004B665C">
          <w:rPr>
            <w:rStyle w:val="Hyperlink"/>
            <w:noProof/>
          </w:rPr>
          <w:t xml:space="preserve">Inform RAN4 (and CC: RAN2) that RAN1 do not find any RAN1 specification impact to the UE capabilities </w:t>
        </w:r>
        <w:r w:rsidR="00C03A3F" w:rsidRPr="004B665C">
          <w:rPr>
            <w:rStyle w:val="Hyperlink"/>
            <w:i/>
            <w:iCs/>
            <w:noProof/>
          </w:rPr>
          <w:t>powerBoostRel18</w:t>
        </w:r>
        <w:r w:rsidR="00C03A3F" w:rsidRPr="004B665C">
          <w:rPr>
            <w:rStyle w:val="Hyperlink"/>
            <w:noProof/>
          </w:rPr>
          <w:t xml:space="preserve"> and </w:t>
        </w:r>
        <w:r w:rsidR="00C03A3F" w:rsidRPr="004B665C">
          <w:rPr>
            <w:rStyle w:val="Hyperlink"/>
            <w:i/>
            <w:iCs/>
            <w:noProof/>
          </w:rPr>
          <w:t>powerBoostTSRel18</w:t>
        </w:r>
        <w:r w:rsidR="00C03A3F" w:rsidRPr="004B665C">
          <w:rPr>
            <w:rStyle w:val="Hyperlink"/>
            <w:noProof/>
          </w:rPr>
          <w:t xml:space="preserve"> and that RAN1 expects RAN4 and RAN2 to develop the specifications for these UE features.</w:t>
        </w:r>
      </w:hyperlink>
    </w:p>
    <w:p w14:paraId="58ACA235" w14:textId="1B0DF949" w:rsidR="00C01F33" w:rsidRPr="00CE0424" w:rsidRDefault="00281282" w:rsidP="006A7080">
      <w:pPr>
        <w:pStyle w:val="BodyText"/>
      </w:pPr>
      <w:r>
        <w:rPr>
          <w:b/>
          <w:bCs/>
        </w:rPr>
        <w:fldChar w:fldCharType="end"/>
      </w:r>
      <w:bookmarkStart w:id="5" w:name="_In-sequence_SDU_delivery"/>
      <w:bookmarkEnd w:id="5"/>
    </w:p>
    <w:p w14:paraId="71D79D99" w14:textId="21ED8DAC" w:rsidR="00F507D1" w:rsidRPr="00CE0424" w:rsidRDefault="00F63093" w:rsidP="00CE0424">
      <w:pPr>
        <w:pStyle w:val="Heading1"/>
      </w:pPr>
      <w:r>
        <w:t>4</w:t>
      </w:r>
      <w:r>
        <w:tab/>
      </w:r>
      <w:r w:rsidR="00F507D1" w:rsidRPr="00CE0424">
        <w:t>References</w:t>
      </w:r>
    </w:p>
    <w:p w14:paraId="0F17A45D" w14:textId="77777777" w:rsidR="006A7080" w:rsidRPr="00432D9F" w:rsidRDefault="006A7080" w:rsidP="006A7080">
      <w:pPr>
        <w:pStyle w:val="Reference"/>
        <w:spacing w:after="160"/>
        <w:jc w:val="left"/>
      </w:pPr>
      <w:bookmarkStart w:id="6" w:name="_Ref157095972"/>
      <w:bookmarkStart w:id="7" w:name="_Ref174151459"/>
      <w:bookmarkStart w:id="8" w:name="_Ref189809556"/>
      <w:r w:rsidRPr="00432D9F">
        <w:t>RAN4 (Nokia), “R1-2400025, LS on UE capabilities for MPR reduction”, 3GPP TSG RAN</w:t>
      </w:r>
      <w:r>
        <w:t>4</w:t>
      </w:r>
      <w:r w:rsidRPr="00432D9F">
        <w:t xml:space="preserve"> Meeting #</w:t>
      </w:r>
      <w:r>
        <w:t>109</w:t>
      </w:r>
      <w:r w:rsidRPr="00432D9F">
        <w:t xml:space="preserve">, Chicago, USA, November </w:t>
      </w:r>
      <w:r>
        <w:t>13-17</w:t>
      </w:r>
      <w:r w:rsidRPr="00432D9F">
        <w:t>, 2023.</w:t>
      </w:r>
      <w:bookmarkEnd w:id="6"/>
    </w:p>
    <w:p w14:paraId="37685AF6" w14:textId="77777777" w:rsidR="006A7080" w:rsidRDefault="006A7080" w:rsidP="006A7080">
      <w:pPr>
        <w:pStyle w:val="Reference"/>
        <w:spacing w:after="160"/>
      </w:pPr>
      <w:bookmarkStart w:id="9" w:name="_Ref157095765"/>
      <w:bookmarkEnd w:id="7"/>
      <w:bookmarkEnd w:id="8"/>
      <w:r w:rsidRPr="00432D9F">
        <w:t>Moderator (NTT DOCOMO, INC.), “RP-231498, Summary for discussion [RAN1-UL-Coverage]” 3GPP TSG RAN WG meeting #100, Taipei, June 12-14, 2023.</w:t>
      </w:r>
      <w:bookmarkEnd w:id="9"/>
    </w:p>
    <w:p w14:paraId="715CA09B" w14:textId="77777777" w:rsidR="003A7EF3" w:rsidRPr="00CE0424" w:rsidRDefault="003A7EF3" w:rsidP="00CE0424">
      <w:pPr>
        <w:pStyle w:val="BodyText"/>
      </w:pPr>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660A0" w14:textId="77777777" w:rsidR="00CB1185" w:rsidRDefault="00CB1185">
      <w:r>
        <w:separator/>
      </w:r>
    </w:p>
  </w:endnote>
  <w:endnote w:type="continuationSeparator" w:id="0">
    <w:p w14:paraId="48706761" w14:textId="77777777" w:rsidR="00CB1185" w:rsidRDefault="00CB1185">
      <w:r>
        <w:continuationSeparator/>
      </w:r>
    </w:p>
  </w:endnote>
  <w:endnote w:type="continuationNotice" w:id="1">
    <w:p w14:paraId="39B02A8F" w14:textId="77777777" w:rsidR="00CB1185" w:rsidRDefault="00CB11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E9D53" w14:textId="77777777" w:rsidR="00CB1185" w:rsidRDefault="00CB1185">
      <w:r>
        <w:separator/>
      </w:r>
    </w:p>
  </w:footnote>
  <w:footnote w:type="continuationSeparator" w:id="0">
    <w:p w14:paraId="16F84875" w14:textId="77777777" w:rsidR="00CB1185" w:rsidRDefault="00CB1185">
      <w:r>
        <w:continuationSeparator/>
      </w:r>
    </w:p>
  </w:footnote>
  <w:footnote w:type="continuationNotice" w:id="1">
    <w:p w14:paraId="0089C00A" w14:textId="77777777" w:rsidR="00CB1185" w:rsidRDefault="00CB11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2A1F6D"/>
    <w:multiLevelType w:val="hybridMultilevel"/>
    <w:tmpl w:val="BE344F16"/>
    <w:lvl w:ilvl="0" w:tplc="50A2DA52">
      <w:start w:val="1"/>
      <w:numFmt w:val="bullet"/>
      <w:lvlText w:val="•"/>
      <w:lvlJc w:val="left"/>
      <w:pPr>
        <w:tabs>
          <w:tab w:val="num" w:pos="720"/>
        </w:tabs>
        <w:ind w:left="720" w:hanging="360"/>
      </w:pPr>
      <w:rPr>
        <w:rFonts w:ascii="Arial" w:hAnsi="Arial" w:hint="default"/>
      </w:rPr>
    </w:lvl>
    <w:lvl w:ilvl="1" w:tplc="F42865D4">
      <w:numFmt w:val="bullet"/>
      <w:lvlText w:val="•"/>
      <w:lvlJc w:val="left"/>
      <w:pPr>
        <w:tabs>
          <w:tab w:val="num" w:pos="1440"/>
        </w:tabs>
        <w:ind w:left="1440" w:hanging="360"/>
      </w:pPr>
      <w:rPr>
        <w:rFonts w:ascii="Arial" w:hAnsi="Arial" w:hint="default"/>
      </w:rPr>
    </w:lvl>
    <w:lvl w:ilvl="2" w:tplc="CC486726">
      <w:numFmt w:val="bullet"/>
      <w:lvlText w:val="•"/>
      <w:lvlJc w:val="left"/>
      <w:pPr>
        <w:tabs>
          <w:tab w:val="num" w:pos="2160"/>
        </w:tabs>
        <w:ind w:left="2160" w:hanging="360"/>
      </w:pPr>
      <w:rPr>
        <w:rFonts w:ascii="Arial" w:hAnsi="Arial" w:hint="default"/>
      </w:rPr>
    </w:lvl>
    <w:lvl w:ilvl="3" w:tplc="79AC62B6" w:tentative="1">
      <w:start w:val="1"/>
      <w:numFmt w:val="bullet"/>
      <w:lvlText w:val="•"/>
      <w:lvlJc w:val="left"/>
      <w:pPr>
        <w:tabs>
          <w:tab w:val="num" w:pos="2880"/>
        </w:tabs>
        <w:ind w:left="2880" w:hanging="360"/>
      </w:pPr>
      <w:rPr>
        <w:rFonts w:ascii="Arial" w:hAnsi="Arial" w:hint="default"/>
      </w:rPr>
    </w:lvl>
    <w:lvl w:ilvl="4" w:tplc="5D829E88" w:tentative="1">
      <w:start w:val="1"/>
      <w:numFmt w:val="bullet"/>
      <w:lvlText w:val="•"/>
      <w:lvlJc w:val="left"/>
      <w:pPr>
        <w:tabs>
          <w:tab w:val="num" w:pos="3600"/>
        </w:tabs>
        <w:ind w:left="3600" w:hanging="360"/>
      </w:pPr>
      <w:rPr>
        <w:rFonts w:ascii="Arial" w:hAnsi="Arial" w:hint="default"/>
      </w:rPr>
    </w:lvl>
    <w:lvl w:ilvl="5" w:tplc="51360E8A" w:tentative="1">
      <w:start w:val="1"/>
      <w:numFmt w:val="bullet"/>
      <w:lvlText w:val="•"/>
      <w:lvlJc w:val="left"/>
      <w:pPr>
        <w:tabs>
          <w:tab w:val="num" w:pos="4320"/>
        </w:tabs>
        <w:ind w:left="4320" w:hanging="360"/>
      </w:pPr>
      <w:rPr>
        <w:rFonts w:ascii="Arial" w:hAnsi="Arial" w:hint="default"/>
      </w:rPr>
    </w:lvl>
    <w:lvl w:ilvl="6" w:tplc="06C6368A" w:tentative="1">
      <w:start w:val="1"/>
      <w:numFmt w:val="bullet"/>
      <w:lvlText w:val="•"/>
      <w:lvlJc w:val="left"/>
      <w:pPr>
        <w:tabs>
          <w:tab w:val="num" w:pos="5040"/>
        </w:tabs>
        <w:ind w:left="5040" w:hanging="360"/>
      </w:pPr>
      <w:rPr>
        <w:rFonts w:ascii="Arial" w:hAnsi="Arial" w:hint="default"/>
      </w:rPr>
    </w:lvl>
    <w:lvl w:ilvl="7" w:tplc="D0CA819A" w:tentative="1">
      <w:start w:val="1"/>
      <w:numFmt w:val="bullet"/>
      <w:lvlText w:val="•"/>
      <w:lvlJc w:val="left"/>
      <w:pPr>
        <w:tabs>
          <w:tab w:val="num" w:pos="5760"/>
        </w:tabs>
        <w:ind w:left="5760" w:hanging="360"/>
      </w:pPr>
      <w:rPr>
        <w:rFonts w:ascii="Arial" w:hAnsi="Arial" w:hint="default"/>
      </w:rPr>
    </w:lvl>
    <w:lvl w:ilvl="8" w:tplc="8C866A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381557292">
    <w:abstractNumId w:val="3"/>
  </w:num>
  <w:num w:numId="2" w16cid:durableId="1137335119">
    <w:abstractNumId w:val="16"/>
  </w:num>
  <w:num w:numId="3" w16cid:durableId="1076199367">
    <w:abstractNumId w:val="12"/>
  </w:num>
  <w:num w:numId="4" w16cid:durableId="2089885828">
    <w:abstractNumId w:val="13"/>
  </w:num>
  <w:num w:numId="5" w16cid:durableId="720060866">
    <w:abstractNumId w:val="9"/>
  </w:num>
  <w:num w:numId="6" w16cid:durableId="1781530685">
    <w:abstractNumId w:val="15"/>
  </w:num>
  <w:num w:numId="7" w16cid:durableId="1781101945">
    <w:abstractNumId w:val="19"/>
  </w:num>
  <w:num w:numId="8" w16cid:durableId="438571540">
    <w:abstractNumId w:val="10"/>
  </w:num>
  <w:num w:numId="9" w16cid:durableId="1223443646">
    <w:abstractNumId w:val="8"/>
  </w:num>
  <w:num w:numId="10" w16cid:durableId="1692564067">
    <w:abstractNumId w:val="2"/>
  </w:num>
  <w:num w:numId="11" w16cid:durableId="1977484339">
    <w:abstractNumId w:val="1"/>
  </w:num>
  <w:num w:numId="12" w16cid:durableId="1682856928">
    <w:abstractNumId w:val="0"/>
  </w:num>
  <w:num w:numId="13" w16cid:durableId="1037465201">
    <w:abstractNumId w:val="17"/>
  </w:num>
  <w:num w:numId="14" w16cid:durableId="1611009587">
    <w:abstractNumId w:val="18"/>
  </w:num>
  <w:num w:numId="15" w16cid:durableId="1752853333">
    <w:abstractNumId w:val="14"/>
  </w:num>
  <w:num w:numId="16" w16cid:durableId="502209014">
    <w:abstractNumId w:val="20"/>
  </w:num>
  <w:num w:numId="17" w16cid:durableId="2091805549">
    <w:abstractNumId w:val="6"/>
  </w:num>
  <w:num w:numId="18" w16cid:durableId="2096784650">
    <w:abstractNumId w:val="7"/>
  </w:num>
  <w:num w:numId="19" w16cid:durableId="1068456054">
    <w:abstractNumId w:val="5"/>
  </w:num>
  <w:num w:numId="20" w16cid:durableId="1796289179">
    <w:abstractNumId w:val="22"/>
  </w:num>
  <w:num w:numId="21" w16cid:durableId="1162157297">
    <w:abstractNumId w:val="11"/>
  </w:num>
  <w:num w:numId="22" w16cid:durableId="1623999558">
    <w:abstractNumId w:val="21"/>
  </w:num>
  <w:num w:numId="23" w16cid:durableId="62851662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7BB7"/>
    <w:rsid w:val="000D0D07"/>
    <w:rsid w:val="000D121D"/>
    <w:rsid w:val="000D185B"/>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76658"/>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282"/>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5F99"/>
    <w:rsid w:val="003C7806"/>
    <w:rsid w:val="003D109F"/>
    <w:rsid w:val="003D2478"/>
    <w:rsid w:val="003D3C45"/>
    <w:rsid w:val="003D5B1F"/>
    <w:rsid w:val="003E15FA"/>
    <w:rsid w:val="003E55E4"/>
    <w:rsid w:val="003E74E3"/>
    <w:rsid w:val="003F05C7"/>
    <w:rsid w:val="003F2CD4"/>
    <w:rsid w:val="003F6BBE"/>
    <w:rsid w:val="004000E8"/>
    <w:rsid w:val="00401520"/>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16E"/>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5FCE"/>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882"/>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080"/>
    <w:rsid w:val="006A7AFF"/>
    <w:rsid w:val="006B1050"/>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5A17"/>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0965"/>
    <w:rsid w:val="007348B1"/>
    <w:rsid w:val="007362A6"/>
    <w:rsid w:val="00736D7D"/>
    <w:rsid w:val="00740E58"/>
    <w:rsid w:val="007445A0"/>
    <w:rsid w:val="0074524B"/>
    <w:rsid w:val="00747D8B"/>
    <w:rsid w:val="00751228"/>
    <w:rsid w:val="007571E1"/>
    <w:rsid w:val="007604B2"/>
    <w:rsid w:val="00765281"/>
    <w:rsid w:val="00766BAD"/>
    <w:rsid w:val="007729A2"/>
    <w:rsid w:val="007747B3"/>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1994"/>
    <w:rsid w:val="008444E8"/>
    <w:rsid w:val="00844E80"/>
    <w:rsid w:val="00846FE7"/>
    <w:rsid w:val="00847032"/>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615"/>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0F8E"/>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0824"/>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3A3F"/>
    <w:rsid w:val="00C040F7"/>
    <w:rsid w:val="00C044AB"/>
    <w:rsid w:val="00C05706"/>
    <w:rsid w:val="00C07377"/>
    <w:rsid w:val="00C10478"/>
    <w:rsid w:val="00C12107"/>
    <w:rsid w:val="00C14D4B"/>
    <w:rsid w:val="00C154BB"/>
    <w:rsid w:val="00C217BB"/>
    <w:rsid w:val="00C25960"/>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18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47B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88C"/>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1008"/>
    <w:rsid w:val="00EC24D5"/>
    <w:rsid w:val="00EC27C6"/>
    <w:rsid w:val="00EC4207"/>
    <w:rsid w:val="00EC5653"/>
    <w:rsid w:val="00EC71CE"/>
    <w:rsid w:val="00ED1006"/>
    <w:rsid w:val="00ED34C9"/>
    <w:rsid w:val="00EF18FE"/>
    <w:rsid w:val="00EF5787"/>
    <w:rsid w:val="00EF60D0"/>
    <w:rsid w:val="00F0528D"/>
    <w:rsid w:val="00F06C67"/>
    <w:rsid w:val="00F06DFD"/>
    <w:rsid w:val="00F071D1"/>
    <w:rsid w:val="00F07533"/>
    <w:rsid w:val="00F10629"/>
    <w:rsid w:val="00F14586"/>
    <w:rsid w:val="00F15FA5"/>
    <w:rsid w:val="00F209B7"/>
    <w:rsid w:val="00F2376F"/>
    <w:rsid w:val="00F243D8"/>
    <w:rsid w:val="00F30828"/>
    <w:rsid w:val="00F313D6"/>
    <w:rsid w:val="00F31F30"/>
    <w:rsid w:val="00F40F0C"/>
    <w:rsid w:val="00F4766C"/>
    <w:rsid w:val="00F5060E"/>
    <w:rsid w:val="00F507D1"/>
    <w:rsid w:val="00F519CE"/>
    <w:rsid w:val="00F51ADA"/>
    <w:rsid w:val="00F57098"/>
    <w:rsid w:val="00F60203"/>
    <w:rsid w:val="00F607C5"/>
    <w:rsid w:val="00F60DEA"/>
    <w:rsid w:val="00F6302A"/>
    <w:rsid w:val="00F63093"/>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ReferenceChar">
    <w:name w:val="Reference Char"/>
    <w:basedOn w:val="DefaultParagraphFont"/>
    <w:link w:val="Reference"/>
    <w:locked/>
    <w:rsid w:val="006A7080"/>
    <w:rPr>
      <w:rFonts w:ascii="Arial" w:eastAsiaTheme="minorHAnsi" w:hAnsi="Arial" w:cstheme="minorBidi"/>
      <w:szCs w:val="22"/>
      <w:lang w:val="en-US" w:eastAsia="zh-CN"/>
    </w:rPr>
  </w:style>
  <w:style w:type="character" w:customStyle="1" w:styleId="TALChar">
    <w:name w:val="TAL Char"/>
    <w:qFormat/>
    <w:rsid w:val="003C5F99"/>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750</Words>
  <Characters>4244</Characters>
  <Application>Microsoft Office Word</Application>
  <DocSecurity>0</DocSecurity>
  <Lines>146</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2024-02-18T21:56:00Z</dcterms:created>
  <dcterms:modified xsi:type="dcterms:W3CDTF">2024-02-18T21:56:00Z</dcterms:modified>
  <cp:category/>
</cp:coreProperties>
</file>